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b w:val="0"/>
          <w:bCs w:val="0"/>
        </w:rPr>
      </w:pPr>
      <w:r>
        <w:rPr>
          <w:rFonts w:hint="eastAsia"/>
          <w:b w:val="0"/>
          <w:bCs w:val="0"/>
        </w:rPr>
        <w:t>昆明市住宅工程质量潜在缺陷</w:t>
      </w:r>
      <w:r>
        <w:rPr>
          <w:rFonts w:hint="eastAsia"/>
          <w:b w:val="0"/>
          <w:bCs w:val="0"/>
          <w:lang w:eastAsia="zh-CN"/>
        </w:rPr>
        <w:t>保险</w:t>
      </w:r>
      <w:r>
        <w:rPr>
          <w:rFonts w:hint="eastAsia"/>
          <w:b w:val="0"/>
          <w:bCs w:val="0"/>
        </w:rPr>
        <w:t>共保体招标管理办法（试行）</w:t>
      </w:r>
    </w:p>
    <w:p>
      <w:pPr>
        <w:pStyle w:val="4"/>
        <w:rPr>
          <w:b w:val="0"/>
          <w:bCs w:val="0"/>
        </w:rPr>
      </w:pPr>
      <w:r>
        <w:rPr>
          <w:rFonts w:hint="eastAsia"/>
          <w:b w:val="0"/>
          <w:bCs w:val="0"/>
        </w:rPr>
        <w:t xml:space="preserve">第一章 </w:t>
      </w:r>
      <w:r>
        <w:rPr>
          <w:b w:val="0"/>
          <w:bCs w:val="0"/>
        </w:rPr>
        <w:t xml:space="preserve"> </w:t>
      </w:r>
      <w:r>
        <w:rPr>
          <w:rFonts w:hint="eastAsia"/>
          <w:b w:val="0"/>
          <w:bCs w:val="0"/>
        </w:rPr>
        <w:t>总则</w:t>
      </w:r>
    </w:p>
    <w:p>
      <w:pPr>
        <w:ind w:firstLine="640"/>
      </w:pPr>
      <w:r>
        <w:rPr>
          <w:rFonts w:hint="eastAsia"/>
        </w:rPr>
        <w:t>第一条  为进一步推动昆明市住宅工程质量潜在缺陷保险项目试点工作，建立健全项目参与保险公司进出机制，根据《中华人民共和国招标投标法》、《云南省招标投标条例》等法律法规，按照《昆明市住宅工程质量潜在缺陷保险实施意见（试行）》等文件要求，制定本办法。</w:t>
      </w:r>
    </w:p>
    <w:p>
      <w:pPr>
        <w:ind w:firstLine="640"/>
      </w:pPr>
      <w:r>
        <w:rPr>
          <w:rFonts w:hint="eastAsia"/>
        </w:rPr>
        <w:t>第二条  昆明市行政区域内住宅工程质量潜在缺陷保险承保保险公司招标投标活动及其监督管理工作，适用本办法。</w:t>
      </w:r>
    </w:p>
    <w:p>
      <w:pPr>
        <w:ind w:firstLine="640"/>
        <w:rPr>
          <w:rFonts w:hint="eastAsia"/>
        </w:rPr>
      </w:pPr>
      <w:r>
        <w:rPr>
          <w:rFonts w:hint="eastAsia"/>
        </w:rPr>
        <w:t>第三条  本办法所称住宅工程质量潜在缺陷保险是指由住宅工程的建设单位投保的，保险公司根据保险条款约定，对在保险范围和保险期限内出现的由于工程质量潜在缺陷所导致的投保建筑物损坏，履行赔偿义务的保险。</w:t>
      </w:r>
    </w:p>
    <w:p>
      <w:pPr>
        <w:ind w:firstLine="640"/>
      </w:pPr>
      <w:r>
        <w:rPr>
          <w:rFonts w:hint="eastAsia"/>
        </w:rPr>
        <w:t>第四条  招标投标活动遵循公开、公平、公正和诚信的原则。</w:t>
      </w:r>
    </w:p>
    <w:p>
      <w:pPr>
        <w:ind w:firstLine="640"/>
      </w:pPr>
      <w:r>
        <w:rPr>
          <w:rFonts w:hint="eastAsia"/>
        </w:rPr>
        <w:t>第五条</w:t>
      </w:r>
      <w:r>
        <w:t xml:space="preserve">  </w:t>
      </w:r>
      <w:r>
        <w:rPr>
          <w:rFonts w:hint="eastAsia"/>
        </w:rPr>
        <w:t>工程质量潜在缺陷保险的承保采取共保模式。共保体由主承保险公司和至少两家成员保险公司组成，并实行统一保险条款、统一保险费率、统一理赔服务、统一分配份额、统一信息平台。</w:t>
      </w:r>
    </w:p>
    <w:p>
      <w:pPr>
        <w:pStyle w:val="4"/>
      </w:pPr>
      <w:r>
        <w:rPr>
          <w:rFonts w:hint="eastAsia"/>
        </w:rPr>
        <w:t>第二章</w:t>
      </w:r>
      <w:r>
        <w:t xml:space="preserve">  </w:t>
      </w:r>
      <w:r>
        <w:rPr>
          <w:rFonts w:hint="eastAsia"/>
        </w:rPr>
        <w:t>建设管理</w:t>
      </w:r>
    </w:p>
    <w:p>
      <w:pPr>
        <w:ind w:firstLine="640"/>
      </w:pPr>
      <w:r>
        <w:rPr>
          <w:rFonts w:hint="eastAsia"/>
        </w:rPr>
        <w:t>第六条</w:t>
      </w:r>
      <w:r>
        <w:t xml:space="preserve">  </w:t>
      </w:r>
      <w:r>
        <w:rPr>
          <w:rFonts w:hint="eastAsia"/>
        </w:rPr>
        <w:t>建立工程质量潜在缺陷保险承保机构名录库制度。由市住建主管部门通过招标方式，选择注册资本金充裕，综合偿付能力充足，风险管理能力强，承保理赔服务优，具有一定的缺陷保险承保经验，信用良好的保险公司，供建设单位投保时选择。</w:t>
      </w:r>
    </w:p>
    <w:p>
      <w:pPr>
        <w:ind w:firstLine="640"/>
      </w:pPr>
      <w:r>
        <w:rPr>
          <w:rFonts w:hint="eastAsia"/>
        </w:rPr>
        <w:t>主承保公司从具有承保资格的保险公司中择优确定，数量占具有承保资格保险公司总数的1</w:t>
      </w:r>
      <w:r>
        <w:t>/3</w:t>
      </w:r>
      <w:r>
        <w:rPr>
          <w:rFonts w:hint="eastAsia"/>
        </w:rPr>
        <w:t>。</w:t>
      </w:r>
    </w:p>
    <w:p>
      <w:pPr>
        <w:ind w:firstLine="640"/>
      </w:pPr>
      <w:r>
        <w:rPr>
          <w:rFonts w:hint="eastAsia"/>
        </w:rPr>
        <w:t xml:space="preserve">第七条  </w:t>
      </w:r>
      <w:r>
        <w:rPr>
          <w:rFonts w:hint="eastAsia" w:ascii="仿宋_GB2312" w:hAnsi="仿宋_GB2312" w:eastAsia="仿宋_GB2312" w:cs="仿宋_GB2312"/>
          <w:sz w:val="32"/>
          <w:szCs w:val="32"/>
          <w:lang w:val="en-US" w:eastAsia="zh-CN"/>
        </w:rPr>
        <w:t>昆明市住房和城乡建设局</w:t>
      </w:r>
      <w:r>
        <w:rPr>
          <w:rFonts w:hint="eastAsia"/>
        </w:rPr>
        <w:t>负责建立承保保险公司考核管理制度，建立健全承保保险公司名录库进出机制。</w:t>
      </w:r>
    </w:p>
    <w:p>
      <w:pPr>
        <w:pStyle w:val="2"/>
        <w:ind w:firstLine="640"/>
      </w:pPr>
      <w:r>
        <w:rPr>
          <w:rFonts w:hint="eastAsia"/>
        </w:rPr>
        <w:t xml:space="preserve">第八条  </w:t>
      </w:r>
      <w:r>
        <w:rPr>
          <w:rFonts w:hint="eastAsia" w:ascii="仿宋_GB2312" w:hAnsi="仿宋_GB2312" w:eastAsia="仿宋_GB2312" w:cs="仿宋_GB2312"/>
          <w:sz w:val="32"/>
          <w:szCs w:val="32"/>
          <w:lang w:val="en-US" w:eastAsia="zh-CN"/>
        </w:rPr>
        <w:t>昆明市住房和城乡建设局</w:t>
      </w:r>
      <w:r>
        <w:rPr>
          <w:rFonts w:hint="eastAsia"/>
        </w:rPr>
        <w:t>负责公开承保公司及主承保公司名录。</w:t>
      </w:r>
    </w:p>
    <w:p>
      <w:pPr>
        <w:pStyle w:val="4"/>
      </w:pPr>
      <w:r>
        <w:rPr>
          <w:rFonts w:hint="eastAsia"/>
        </w:rPr>
        <w:t xml:space="preserve">第三章 </w:t>
      </w:r>
      <w:r>
        <w:t xml:space="preserve"> </w:t>
      </w:r>
      <w:r>
        <w:rPr>
          <w:rFonts w:hint="eastAsia"/>
        </w:rPr>
        <w:t>招标投标</w:t>
      </w:r>
    </w:p>
    <w:p>
      <w:pPr>
        <w:ind w:firstLine="640"/>
      </w:pPr>
      <w:r>
        <w:rPr>
          <w:rFonts w:hint="eastAsia"/>
        </w:rPr>
        <w:t>第九条</w:t>
      </w:r>
      <w:r>
        <w:rPr>
          <w:rFonts w:hint="eastAsia"/>
          <w:color w:val="auto"/>
        </w:rPr>
        <w:t xml:space="preserve">  招标</w:t>
      </w:r>
      <w:r>
        <w:rPr>
          <w:rFonts w:hint="eastAsia"/>
          <w:color w:val="auto"/>
          <w:lang w:eastAsia="zh-CN"/>
        </w:rPr>
        <w:t>方式为</w:t>
      </w:r>
      <w:r>
        <w:rPr>
          <w:rFonts w:hint="eastAsia"/>
          <w:color w:val="auto"/>
        </w:rPr>
        <w:t>公开招标</w:t>
      </w:r>
      <w:r>
        <w:rPr>
          <w:rFonts w:hint="eastAsia"/>
          <w:color w:val="auto"/>
          <w:lang w:eastAsia="zh-CN"/>
        </w:rPr>
        <w:t>，</w:t>
      </w:r>
      <w:r>
        <w:rPr>
          <w:rFonts w:hint="eastAsia"/>
          <w:color w:val="auto"/>
        </w:rPr>
        <w:t>即</w:t>
      </w:r>
      <w:r>
        <w:rPr>
          <w:rFonts w:hint="eastAsia"/>
        </w:rPr>
        <w:t>由</w:t>
      </w:r>
      <w:r>
        <w:rPr>
          <w:rFonts w:hint="eastAsia" w:ascii="仿宋_GB2312" w:hAnsi="仿宋_GB2312" w:eastAsia="仿宋_GB2312" w:cs="仿宋_GB2312"/>
          <w:sz w:val="32"/>
          <w:szCs w:val="32"/>
          <w:lang w:val="en-US" w:eastAsia="zh-CN"/>
        </w:rPr>
        <w:t>昆明市住房和城乡建设局</w:t>
      </w:r>
      <w:r>
        <w:rPr>
          <w:rFonts w:hint="eastAsia"/>
        </w:rPr>
        <w:t>或受其委托的招标代理机构发布招标公告的招标。</w:t>
      </w:r>
    </w:p>
    <w:p>
      <w:pPr>
        <w:ind w:firstLine="640"/>
      </w:pPr>
      <w:r>
        <w:rPr>
          <w:rFonts w:hint="eastAsia"/>
        </w:rPr>
        <w:t>第十条  招标投标管理机构会同有关部门在投标截止之后、开标之前审查确定标底。标底未经审定，不得开标，不得作为评标依据。</w:t>
      </w:r>
    </w:p>
    <w:p>
      <w:pPr>
        <w:ind w:firstLine="640"/>
      </w:pPr>
      <w:r>
        <w:rPr>
          <w:rFonts w:hint="eastAsia"/>
        </w:rPr>
        <w:t>标底审定后必须密封保存。开标之前必须严格保密，不得泄露。</w:t>
      </w:r>
    </w:p>
    <w:p>
      <w:pPr>
        <w:pStyle w:val="2"/>
        <w:ind w:firstLine="640"/>
      </w:pPr>
      <w:r>
        <w:rPr>
          <w:rFonts w:hint="eastAsia"/>
        </w:rPr>
        <w:t>第十一条  招标单位、代理机构不得与投标单位串通，妨碍公平竞争。</w:t>
      </w:r>
    </w:p>
    <w:p>
      <w:pPr>
        <w:ind w:firstLine="640"/>
        <w:rPr>
          <w:rFonts w:eastAsia="黑体"/>
        </w:rPr>
      </w:pPr>
      <w:r>
        <w:rPr>
          <w:rFonts w:hint="eastAsia"/>
        </w:rPr>
        <w:t>第十二条  投</w:t>
      </w:r>
      <w:r>
        <w:rPr>
          <w:rFonts w:hint="eastAsia"/>
          <w:lang w:eastAsia="zh-CN"/>
        </w:rPr>
        <w:t>标</w:t>
      </w:r>
      <w:r>
        <w:rPr>
          <w:rFonts w:hint="eastAsia"/>
        </w:rPr>
        <w:t>人应当具备下列基本条件：</w:t>
      </w:r>
    </w:p>
    <w:p>
      <w:pPr>
        <w:ind w:firstLine="640"/>
      </w:pPr>
      <w:r>
        <w:rPr>
          <w:rFonts w:hint="eastAsia"/>
        </w:rPr>
        <w:t>（一）必须是在中华人民共和国境内注册的财产保险公司（不包括联合体），具有独立法人资格及相应的经营范围；</w:t>
      </w:r>
    </w:p>
    <w:p>
      <w:pPr>
        <w:ind w:firstLine="640"/>
      </w:pPr>
      <w:r>
        <w:rPr>
          <w:rFonts w:hint="eastAsia"/>
        </w:rPr>
        <w:t>（二）须持有《</w:t>
      </w:r>
      <w:r>
        <w:rPr>
          <w:rFonts w:hint="eastAsia"/>
          <w:lang w:eastAsia="zh-CN"/>
        </w:rPr>
        <w:t>中华人民共和国保险</w:t>
      </w:r>
      <w:r>
        <w:rPr>
          <w:rFonts w:hint="eastAsia"/>
        </w:rPr>
        <w:t>许可证》；</w:t>
      </w:r>
    </w:p>
    <w:p>
      <w:pPr>
        <w:ind w:firstLine="640"/>
      </w:pPr>
      <w:r>
        <w:rPr>
          <w:rFonts w:hint="eastAsia"/>
        </w:rPr>
        <w:t>（三）应具备较强的风险管理能力，承保理赔服务优质；</w:t>
      </w:r>
    </w:p>
    <w:p>
      <w:pPr>
        <w:ind w:firstLine="640"/>
      </w:pPr>
      <w:r>
        <w:rPr>
          <w:rFonts w:hint="eastAsia"/>
        </w:rPr>
        <w:t>（四）必须遵守国家法律法规，具有良好的商业信誉和健全的财务会计制度；</w:t>
      </w:r>
    </w:p>
    <w:p>
      <w:pPr>
        <w:ind w:firstLine="640"/>
      </w:pPr>
      <w:r>
        <w:rPr>
          <w:rFonts w:hint="eastAsia"/>
        </w:rPr>
        <w:t>（五）有依法缴纳税收和社会保险资金的良好记录；</w:t>
      </w:r>
    </w:p>
    <w:p>
      <w:pPr>
        <w:ind w:firstLine="640"/>
      </w:pPr>
      <w:r>
        <w:rPr>
          <w:rFonts w:hint="eastAsia"/>
        </w:rPr>
        <w:t>（六）注册资本金50亿元及以上，综合偿付能力充足率150%以上；</w:t>
      </w:r>
    </w:p>
    <w:p>
      <w:pPr>
        <w:ind w:firstLine="640"/>
      </w:pPr>
      <w:r>
        <w:rPr>
          <w:rFonts w:hint="eastAsia"/>
        </w:rPr>
        <w:t>（七）近三年财务报表不得出现亏损；</w:t>
      </w:r>
    </w:p>
    <w:p>
      <w:pPr>
        <w:ind w:firstLine="640"/>
      </w:pPr>
      <w:r>
        <w:rPr>
          <w:rFonts w:hint="eastAsia"/>
        </w:rPr>
        <w:t>（八）应具有建设工程质量潜在缺陷保险承保能力；</w:t>
      </w:r>
    </w:p>
    <w:p>
      <w:pPr>
        <w:ind w:firstLine="640"/>
      </w:pPr>
      <w:r>
        <w:rPr>
          <w:rFonts w:hint="eastAsia"/>
        </w:rPr>
        <w:t>（九）参加招标活动前三年内，在经营活动中没有重大违法记录，无利用不正当竞争手段骗取中标，无重大经济刑事案件；</w:t>
      </w:r>
    </w:p>
    <w:p>
      <w:pPr>
        <w:ind w:firstLine="640"/>
      </w:pPr>
      <w:r>
        <w:rPr>
          <w:rFonts w:hint="eastAsia"/>
        </w:rPr>
        <w:t>（十）参加招标活动前三年内，未被取消住宅工程质量潜在缺陷保险承保资格。</w:t>
      </w:r>
    </w:p>
    <w:p>
      <w:pPr>
        <w:ind w:firstLine="640"/>
      </w:pPr>
      <w:r>
        <w:rPr>
          <w:rFonts w:hint="eastAsia"/>
        </w:rPr>
        <w:t xml:space="preserve">第十三条 </w:t>
      </w:r>
      <w:r>
        <w:t xml:space="preserve"> </w:t>
      </w:r>
      <w:r>
        <w:rPr>
          <w:rFonts w:hint="eastAsia"/>
        </w:rPr>
        <w:t>参加投标的单位，应当按照招标公告规定的时间提交投标申请。</w:t>
      </w:r>
    </w:p>
    <w:p>
      <w:pPr>
        <w:ind w:firstLine="640"/>
      </w:pPr>
      <w:r>
        <w:rPr>
          <w:rFonts w:hint="eastAsia"/>
        </w:rPr>
        <w:t>第十四条  投标单位的投标书应当按照招标文件的内容和要求，遵照国家和省的有关规定，结合本企业的实际情况编制。</w:t>
      </w:r>
    </w:p>
    <w:p>
      <w:pPr>
        <w:ind w:firstLine="640"/>
      </w:pPr>
      <w:r>
        <w:rPr>
          <w:rFonts w:hint="eastAsia"/>
        </w:rPr>
        <w:t>投标书必须有单位和法定代表人或者法定代表人委托的代理人的印鉴。投标单位应当在规定的时间内将投标书密封送达招标单位。</w:t>
      </w:r>
    </w:p>
    <w:p>
      <w:pPr>
        <w:ind w:firstLine="640"/>
      </w:pPr>
      <w:r>
        <w:rPr>
          <w:rFonts w:hint="eastAsia"/>
        </w:rPr>
        <w:t>投标单位在投标截止以后，不得更改投标书的内容。</w:t>
      </w:r>
    </w:p>
    <w:p>
      <w:pPr>
        <w:ind w:firstLine="640"/>
      </w:pPr>
      <w:r>
        <w:rPr>
          <w:rFonts w:hint="eastAsia"/>
        </w:rPr>
        <w:t>第十五条  投标单位之间不得串通投标，故意抬高或者压低标价。</w:t>
      </w:r>
    </w:p>
    <w:p>
      <w:pPr>
        <w:ind w:firstLine="640"/>
      </w:pPr>
      <w:r>
        <w:rPr>
          <w:rFonts w:hint="eastAsia"/>
        </w:rPr>
        <w:t xml:space="preserve">第十六条  </w:t>
      </w:r>
      <w:r>
        <w:rPr>
          <w:rFonts w:hint="eastAsia" w:ascii="仿宋_GB2312" w:hAnsi="仿宋_GB2312" w:eastAsia="仿宋_GB2312" w:cs="仿宋_GB2312"/>
          <w:sz w:val="32"/>
          <w:szCs w:val="32"/>
          <w:lang w:val="en-US" w:eastAsia="zh-CN"/>
        </w:rPr>
        <w:t>昆明市住房和城乡建设局</w:t>
      </w:r>
      <w:r>
        <w:rPr>
          <w:rFonts w:hint="eastAsia"/>
        </w:rPr>
        <w:t>经</w:t>
      </w:r>
      <w:r>
        <w:rPr>
          <w:rFonts w:hint="eastAsia"/>
          <w:lang w:eastAsia="zh-CN"/>
        </w:rPr>
        <w:t>公开</w:t>
      </w:r>
      <w:r>
        <w:rPr>
          <w:rFonts w:hint="eastAsia"/>
        </w:rPr>
        <w:t>招标方式，确定住宅工程质量潜在缺陷保险主承保公司及承保公司资格，并明确责任。承保公司责任应当包括以下内容：</w:t>
      </w:r>
    </w:p>
    <w:p>
      <w:pPr>
        <w:ind w:firstLine="640"/>
        <w:rPr>
          <w:rFonts w:hint="eastAsia"/>
        </w:rPr>
      </w:pPr>
      <w:r>
        <w:rPr>
          <w:rFonts w:hint="eastAsia"/>
        </w:rPr>
        <w:t>(一)明确主承保公司的责任。</w:t>
      </w:r>
    </w:p>
    <w:p>
      <w:pPr>
        <w:ind w:firstLine="640"/>
      </w:pPr>
      <w:r>
        <w:rPr>
          <w:rFonts w:hint="eastAsia"/>
        </w:rPr>
        <w:t>1.主承保公司应当与中标保险机构名单内至少两家保险机构组成共保体，并与共保体成员保险机构签订书面共保协议，明确各保险机构的权利和义务，确定各保险机构承保份额，约定争议处理方式和途径；</w:t>
      </w:r>
    </w:p>
    <w:p>
      <w:pPr>
        <w:ind w:firstLine="640"/>
      </w:pPr>
      <w:r>
        <w:rPr>
          <w:rFonts w:hint="eastAsia"/>
        </w:rPr>
        <w:t>2.各主承保公司应协商一致，确定工程质量缺陷保险费率和保险条款，并组织各成员保险机构报送监管部门备案；</w:t>
      </w:r>
    </w:p>
    <w:p>
      <w:pPr>
        <w:ind w:firstLine="640"/>
      </w:pPr>
      <w:r>
        <w:rPr>
          <w:rFonts w:hint="eastAsia"/>
        </w:rPr>
        <w:t>3.主承保公司承担项目缺陷保险具体业务经营管理，包括制定风险管控方案、收取保费、分配保费、出具保单、查勘定损、理赔维修、建设信息系统等工作，并及时将项目承保、风险管理以及理赔情况告知各成员保险机构。</w:t>
      </w:r>
    </w:p>
    <w:p>
      <w:pPr>
        <w:ind w:firstLine="640"/>
      </w:pPr>
      <w:r>
        <w:rPr>
          <w:rFonts w:hint="eastAsia"/>
        </w:rPr>
        <w:t>(二)建立健全风险管控机制。</w:t>
      </w:r>
      <w:r>
        <w:rPr>
          <w:rFonts w:hint="eastAsia"/>
          <w:lang w:eastAsia="zh-CN"/>
        </w:rPr>
        <w:t>各共保体</w:t>
      </w:r>
      <w:r>
        <w:rPr>
          <w:rFonts w:hint="eastAsia"/>
        </w:rPr>
        <w:t>应当根据项目规模、特点以及技术难度，委托具备一定风险管控能力的风险管理机构对投保项目实施风险管理，配备专业风险管理人员，加强过程风险管理，出具科学、客观、公正的工程质量风险过程评估报告和最终评估报告。</w:t>
      </w:r>
    </w:p>
    <w:p>
      <w:pPr>
        <w:ind w:firstLine="640"/>
      </w:pPr>
      <w:r>
        <w:rPr>
          <w:rFonts w:hint="eastAsia"/>
        </w:rPr>
        <w:t>(三)规范保险经营行为。制定共保章程，明确职责分工，规范共保体经营行为，并督促共保体其他成员履行共保义务。共保体各保险应当严格执行共保协议、共保章程相关要求，依法依规开展经营活动，禁止低价恶性竞争行为。</w:t>
      </w:r>
    </w:p>
    <w:p>
      <w:pPr>
        <w:pStyle w:val="2"/>
        <w:ind w:firstLine="640"/>
      </w:pPr>
      <w:r>
        <w:rPr>
          <w:rFonts w:hint="eastAsia"/>
        </w:rPr>
        <w:t>(四)落实信息报送制度。</w:t>
      </w:r>
      <w:r>
        <w:rPr>
          <w:rFonts w:hint="eastAsia"/>
          <w:lang w:eastAsia="zh-CN"/>
        </w:rPr>
        <w:t>各</w:t>
      </w:r>
      <w:r>
        <w:rPr>
          <w:rFonts w:hint="eastAsia"/>
        </w:rPr>
        <w:t>主承保公司应当于每月上旬将上一月度工程质量潜在缺陷保险承保信息、工程质量风险评估信息和理赔信息进行统计汇总，并报送</w:t>
      </w:r>
      <w:r>
        <w:rPr>
          <w:rFonts w:hint="eastAsia" w:ascii="仿宋_GB2312" w:hAnsi="仿宋_GB2312" w:eastAsia="仿宋_GB2312" w:cs="仿宋_GB2312"/>
          <w:sz w:val="32"/>
          <w:szCs w:val="32"/>
          <w:lang w:val="en-US" w:eastAsia="zh-CN"/>
        </w:rPr>
        <w:t>昆明市住房和城乡建设局</w:t>
      </w:r>
      <w:r>
        <w:rPr>
          <w:rFonts w:hint="eastAsia"/>
        </w:rPr>
        <w:t>、银行保险监管部门。</w:t>
      </w:r>
    </w:p>
    <w:p>
      <w:pPr>
        <w:pStyle w:val="4"/>
      </w:pPr>
      <w:r>
        <w:rPr>
          <w:rFonts w:hint="eastAsia"/>
        </w:rPr>
        <w:t xml:space="preserve">第四章 </w:t>
      </w:r>
      <w:r>
        <w:t xml:space="preserve"> </w:t>
      </w:r>
      <w:r>
        <w:rPr>
          <w:rFonts w:hint="eastAsia"/>
        </w:rPr>
        <w:t>监督管理</w:t>
      </w:r>
    </w:p>
    <w:p>
      <w:pPr>
        <w:ind w:firstLine="640"/>
      </w:pPr>
      <w:r>
        <w:rPr>
          <w:rFonts w:hint="eastAsia"/>
        </w:rPr>
        <w:t>第十七条  由</w:t>
      </w:r>
      <w:r>
        <w:rPr>
          <w:rFonts w:hint="eastAsia" w:ascii="仿宋_GB2312" w:hAnsi="仿宋_GB2312" w:eastAsia="仿宋_GB2312" w:cs="仿宋_GB2312"/>
          <w:sz w:val="32"/>
          <w:szCs w:val="32"/>
          <w:lang w:val="en-US" w:eastAsia="zh-CN"/>
        </w:rPr>
        <w:t>昆明市住房和城乡建设局</w:t>
      </w:r>
      <w:r>
        <w:rPr>
          <w:rFonts w:hint="eastAsia"/>
        </w:rPr>
        <w:t>建立半年度考核机制，对中标主承保公司、保险公司分别进行考核管理，对考核不合格的，主承保公司取消其主承保资格，承保保险公司取消其承保资格。</w:t>
      </w:r>
    </w:p>
    <w:p>
      <w:pPr>
        <w:pStyle w:val="2"/>
        <w:ind w:firstLine="640"/>
      </w:pPr>
      <w:r>
        <w:rPr>
          <w:rFonts w:hint="eastAsia"/>
        </w:rPr>
        <w:t>考核项目应当包括以下基本内容：</w:t>
      </w:r>
    </w:p>
    <w:p>
      <w:pPr>
        <w:pStyle w:val="2"/>
        <w:ind w:firstLine="640"/>
      </w:pPr>
      <w:r>
        <w:rPr>
          <w:rFonts w:hint="eastAsia"/>
        </w:rPr>
        <w:t>（一）保险公司日常开展工程质量潜在缺陷保险承保、理赔服务工作质量评价；</w:t>
      </w:r>
    </w:p>
    <w:p>
      <w:pPr>
        <w:pStyle w:val="2"/>
        <w:ind w:firstLine="640"/>
      </w:pPr>
      <w:r>
        <w:rPr>
          <w:rFonts w:hint="eastAsia"/>
        </w:rPr>
        <w:t>（二）风险、盈利、发展、规模等综合竞争力等；</w:t>
      </w:r>
    </w:p>
    <w:p>
      <w:pPr>
        <w:pStyle w:val="2"/>
        <w:ind w:firstLine="640"/>
      </w:pPr>
      <w:r>
        <w:rPr>
          <w:rFonts w:hint="eastAsia"/>
        </w:rPr>
        <w:t>（三）主承保公司对风控管理机构日常监督、管理情况；</w:t>
      </w:r>
    </w:p>
    <w:p>
      <w:pPr>
        <w:pStyle w:val="2"/>
        <w:ind w:firstLine="640"/>
        <w:rPr>
          <w:rFonts w:hAnsi="仿宋_GB2312" w:cs="仿宋_GB2312"/>
        </w:rPr>
      </w:pPr>
      <w:r>
        <w:rPr>
          <w:rFonts w:hint="eastAsia"/>
        </w:rPr>
        <w:t>（四）主承保公司对</w:t>
      </w:r>
      <w:r>
        <w:rPr>
          <w:rFonts w:hint="eastAsia" w:hAnsi="仿宋_GB2312" w:cs="仿宋_GB2312"/>
        </w:rPr>
        <w:t>工程质量潜在缺陷</w:t>
      </w:r>
      <w:r>
        <w:rPr>
          <w:rFonts w:hAnsi="仿宋_GB2312" w:cs="仿宋_GB2312"/>
        </w:rPr>
        <w:t>保险信息管理</w:t>
      </w:r>
      <w:r>
        <w:rPr>
          <w:rFonts w:hint="eastAsia" w:hAnsi="仿宋_GB2312" w:cs="仿宋_GB2312"/>
        </w:rPr>
        <w:t>平台建设维护情况等。</w:t>
      </w:r>
    </w:p>
    <w:p>
      <w:pPr>
        <w:ind w:firstLine="640"/>
      </w:pPr>
      <w:r>
        <w:rPr>
          <w:rFonts w:hint="eastAsia"/>
        </w:rPr>
        <w:t>第十八条  凡有下列行为发生的保险公司，市住建主管部门有权一票否决，直接取消住宅工程质量潜在缺陷保险项目承保资格：</w:t>
      </w:r>
    </w:p>
    <w:p>
      <w:pPr>
        <w:ind w:firstLine="640"/>
      </w:pPr>
      <w:r>
        <w:rPr>
          <w:rFonts w:hint="eastAsia"/>
        </w:rPr>
        <w:t>（一）保险公司因经营管理不善被银行保险监管部门接管的；</w:t>
      </w:r>
    </w:p>
    <w:p>
      <w:pPr>
        <w:ind w:firstLine="640"/>
      </w:pPr>
      <w:r>
        <w:rPr>
          <w:rFonts w:hint="eastAsia"/>
        </w:rPr>
        <w:t>（二）受到银行保险监管部门对其责任险停业处罚一年及以上的；</w:t>
      </w:r>
    </w:p>
    <w:p>
      <w:pPr>
        <w:ind w:firstLine="640"/>
      </w:pPr>
      <w:r>
        <w:rPr>
          <w:rFonts w:hint="eastAsia"/>
        </w:rPr>
        <w:t>（三）保险公司总公司</w:t>
      </w:r>
      <w:r>
        <w:rPr>
          <w:rFonts w:hint="eastAsia"/>
          <w:lang w:eastAsia="zh-CN"/>
        </w:rPr>
        <w:t>上一年度</w:t>
      </w:r>
      <w:r>
        <w:rPr>
          <w:rFonts w:hint="eastAsia"/>
        </w:rPr>
        <w:t>风险评级为C级及以下的。</w:t>
      </w:r>
    </w:p>
    <w:p>
      <w:pPr>
        <w:pStyle w:val="2"/>
        <w:ind w:firstLine="640"/>
      </w:pPr>
      <w:r>
        <w:rPr>
          <w:rFonts w:hint="eastAsia"/>
        </w:rPr>
        <w:t>第十九条  对于取消主承保资格的主承保公司，其主承保资格由</w:t>
      </w:r>
      <w:r>
        <w:rPr>
          <w:rFonts w:hint="eastAsia" w:ascii="仿宋_GB2312" w:hAnsi="仿宋_GB2312" w:eastAsia="仿宋_GB2312" w:cs="仿宋_GB2312"/>
          <w:sz w:val="32"/>
          <w:szCs w:val="32"/>
          <w:lang w:val="en-US" w:eastAsia="zh-CN"/>
        </w:rPr>
        <w:t>昆明市住房和城乡建设局</w:t>
      </w:r>
      <w:r>
        <w:rPr>
          <w:rFonts w:hint="eastAsia"/>
        </w:rPr>
        <w:t>从保险公司名录库中择优确定主承保公司替代。</w:t>
      </w:r>
    </w:p>
    <w:p>
      <w:pPr>
        <w:pStyle w:val="2"/>
        <w:ind w:firstLine="640"/>
      </w:pPr>
      <w:r>
        <w:rPr>
          <w:rFonts w:hint="eastAsia"/>
        </w:rPr>
        <w:t>对于取消承保资格的保险公司，其承保资格由</w:t>
      </w:r>
      <w:r>
        <w:rPr>
          <w:rFonts w:hint="eastAsia" w:ascii="仿宋_GB2312" w:hAnsi="仿宋_GB2312" w:eastAsia="仿宋_GB2312" w:cs="仿宋_GB2312"/>
          <w:sz w:val="32"/>
          <w:szCs w:val="32"/>
          <w:lang w:val="en-US" w:eastAsia="zh-CN"/>
        </w:rPr>
        <w:t>昆明市住房和城乡建设局</w:t>
      </w:r>
      <w:r>
        <w:rPr>
          <w:rFonts w:hint="eastAsia"/>
        </w:rPr>
        <w:t>招标选择保险公司替代。</w:t>
      </w:r>
    </w:p>
    <w:p>
      <w:pPr>
        <w:ind w:firstLine="640"/>
      </w:pPr>
      <w:r>
        <w:rPr>
          <w:rFonts w:hint="eastAsia"/>
        </w:rPr>
        <w:t>第二十条  对于取消住宅工程质量潜在缺陷保险项目承保资格的保险公司，三年内不得再次参与住宅工程质量潜在缺陷保险项目投标活动。</w:t>
      </w:r>
    </w:p>
    <w:p>
      <w:pPr>
        <w:pStyle w:val="4"/>
      </w:pPr>
      <w:r>
        <w:rPr>
          <w:rFonts w:hint="eastAsia"/>
        </w:rPr>
        <w:t xml:space="preserve">第六章  </w:t>
      </w:r>
      <w:r>
        <w:t xml:space="preserve"> </w:t>
      </w:r>
      <w:r>
        <w:rPr>
          <w:rFonts w:hint="eastAsia"/>
        </w:rPr>
        <w:t>附则</w:t>
      </w:r>
    </w:p>
    <w:p>
      <w:pPr>
        <w:ind w:firstLine="640"/>
      </w:pPr>
      <w:r>
        <w:rPr>
          <w:rFonts w:hint="eastAsia"/>
        </w:rPr>
        <w:t>第二十一条  本规定由</w:t>
      </w:r>
      <w:r>
        <w:rPr>
          <w:rFonts w:hint="eastAsia" w:ascii="仿宋_GB2312" w:hAnsi="仿宋_GB2312" w:eastAsia="仿宋_GB2312" w:cs="仿宋_GB2312"/>
          <w:sz w:val="32"/>
          <w:szCs w:val="32"/>
          <w:lang w:val="en-US" w:eastAsia="zh-CN"/>
        </w:rPr>
        <w:t>昆明市住房和城乡建设局</w:t>
      </w:r>
      <w:r>
        <w:rPr>
          <w:rFonts w:hint="eastAsia"/>
        </w:rPr>
        <w:t>负责解释。</w:t>
      </w:r>
      <w:bookmarkStart w:id="0" w:name="_GoBack"/>
      <w:bookmarkEnd w:id="0"/>
    </w:p>
    <w:p>
      <w:pPr>
        <w:ind w:firstLine="640"/>
      </w:pPr>
      <w:r>
        <w:rPr>
          <w:rFonts w:hint="eastAsia"/>
        </w:rPr>
        <w:t>第二十二条  本办法自发布之日起施行，试用时间4年。</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2010601030101010101"/>
    <w:charset w:val="86"/>
    <w:family w:val="script"/>
    <w:pitch w:val="default"/>
    <w:sig w:usb0="00000000" w:usb1="00000000" w:usb2="00000000" w:usb3="00000000" w:csb0="0004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6B2"/>
    <w:rsid w:val="000530BF"/>
    <w:rsid w:val="000A30F2"/>
    <w:rsid w:val="000B75F2"/>
    <w:rsid w:val="000D30F3"/>
    <w:rsid w:val="000E2351"/>
    <w:rsid w:val="000E67A0"/>
    <w:rsid w:val="001371EA"/>
    <w:rsid w:val="00173B73"/>
    <w:rsid w:val="002707E8"/>
    <w:rsid w:val="002C07DF"/>
    <w:rsid w:val="002F1BB0"/>
    <w:rsid w:val="002F2676"/>
    <w:rsid w:val="00316752"/>
    <w:rsid w:val="003326F6"/>
    <w:rsid w:val="00342518"/>
    <w:rsid w:val="00344D46"/>
    <w:rsid w:val="00347BF8"/>
    <w:rsid w:val="00355527"/>
    <w:rsid w:val="003F321E"/>
    <w:rsid w:val="00434B0D"/>
    <w:rsid w:val="004A1305"/>
    <w:rsid w:val="004B259D"/>
    <w:rsid w:val="004E4A8E"/>
    <w:rsid w:val="00562A86"/>
    <w:rsid w:val="00563C59"/>
    <w:rsid w:val="005D146B"/>
    <w:rsid w:val="006756B2"/>
    <w:rsid w:val="006779BA"/>
    <w:rsid w:val="00683109"/>
    <w:rsid w:val="00685D11"/>
    <w:rsid w:val="00687ECB"/>
    <w:rsid w:val="00692D9B"/>
    <w:rsid w:val="006A1549"/>
    <w:rsid w:val="00706CE6"/>
    <w:rsid w:val="007532C6"/>
    <w:rsid w:val="00761B33"/>
    <w:rsid w:val="007C5894"/>
    <w:rsid w:val="00802B88"/>
    <w:rsid w:val="008A2897"/>
    <w:rsid w:val="008B77ED"/>
    <w:rsid w:val="00930D5B"/>
    <w:rsid w:val="00964F7B"/>
    <w:rsid w:val="00984F2A"/>
    <w:rsid w:val="00987E99"/>
    <w:rsid w:val="009B3E95"/>
    <w:rsid w:val="00AC07FD"/>
    <w:rsid w:val="00B13A92"/>
    <w:rsid w:val="00B3632F"/>
    <w:rsid w:val="00B52145"/>
    <w:rsid w:val="00B97161"/>
    <w:rsid w:val="00C04BB1"/>
    <w:rsid w:val="00C05030"/>
    <w:rsid w:val="00D064AB"/>
    <w:rsid w:val="00D316C5"/>
    <w:rsid w:val="00D753F4"/>
    <w:rsid w:val="00DC31E5"/>
    <w:rsid w:val="00E37D29"/>
    <w:rsid w:val="00E55C09"/>
    <w:rsid w:val="00E75D5D"/>
    <w:rsid w:val="00E83740"/>
    <w:rsid w:val="00EA40A5"/>
    <w:rsid w:val="00ED4CD9"/>
    <w:rsid w:val="00EE20E1"/>
    <w:rsid w:val="00EE4967"/>
    <w:rsid w:val="00F06A17"/>
    <w:rsid w:val="00F7466A"/>
    <w:rsid w:val="00FA0B9F"/>
    <w:rsid w:val="00FB3281"/>
    <w:rsid w:val="00FD65AE"/>
    <w:rsid w:val="00FF60CB"/>
    <w:rsid w:val="041B209F"/>
    <w:rsid w:val="0A307576"/>
    <w:rsid w:val="0B157120"/>
    <w:rsid w:val="0CB066BA"/>
    <w:rsid w:val="0D434894"/>
    <w:rsid w:val="0DAD1577"/>
    <w:rsid w:val="0DC61146"/>
    <w:rsid w:val="0EDD38B9"/>
    <w:rsid w:val="0EE45E0A"/>
    <w:rsid w:val="0F4C6B4D"/>
    <w:rsid w:val="0F8D206B"/>
    <w:rsid w:val="1331538D"/>
    <w:rsid w:val="13A237EE"/>
    <w:rsid w:val="16F8762F"/>
    <w:rsid w:val="1779641E"/>
    <w:rsid w:val="1865308B"/>
    <w:rsid w:val="18D7086A"/>
    <w:rsid w:val="1AB279A5"/>
    <w:rsid w:val="1DFA463A"/>
    <w:rsid w:val="1E88742B"/>
    <w:rsid w:val="20F41DE7"/>
    <w:rsid w:val="21607674"/>
    <w:rsid w:val="232450F7"/>
    <w:rsid w:val="24380E20"/>
    <w:rsid w:val="25A4359B"/>
    <w:rsid w:val="26660607"/>
    <w:rsid w:val="26F70815"/>
    <w:rsid w:val="2841313B"/>
    <w:rsid w:val="2987759E"/>
    <w:rsid w:val="29A1628F"/>
    <w:rsid w:val="2ABE4A4E"/>
    <w:rsid w:val="2EBF6729"/>
    <w:rsid w:val="2F522E39"/>
    <w:rsid w:val="31FC38A4"/>
    <w:rsid w:val="33BB5E25"/>
    <w:rsid w:val="35E866C8"/>
    <w:rsid w:val="36CC2457"/>
    <w:rsid w:val="37D25FC9"/>
    <w:rsid w:val="380F384F"/>
    <w:rsid w:val="385F2949"/>
    <w:rsid w:val="3A0F2441"/>
    <w:rsid w:val="3DDB4C42"/>
    <w:rsid w:val="400E6238"/>
    <w:rsid w:val="412F4B4D"/>
    <w:rsid w:val="422E1243"/>
    <w:rsid w:val="42CF22AE"/>
    <w:rsid w:val="43723D8E"/>
    <w:rsid w:val="44AC7202"/>
    <w:rsid w:val="45001C27"/>
    <w:rsid w:val="46FC3000"/>
    <w:rsid w:val="4972291B"/>
    <w:rsid w:val="49B63DE9"/>
    <w:rsid w:val="49D00050"/>
    <w:rsid w:val="4C5642FD"/>
    <w:rsid w:val="4F5826A3"/>
    <w:rsid w:val="4FF23D6C"/>
    <w:rsid w:val="50912600"/>
    <w:rsid w:val="523976EB"/>
    <w:rsid w:val="53E01162"/>
    <w:rsid w:val="53FD3980"/>
    <w:rsid w:val="546C4451"/>
    <w:rsid w:val="558A3672"/>
    <w:rsid w:val="55F52A09"/>
    <w:rsid w:val="56A15F0F"/>
    <w:rsid w:val="57154F71"/>
    <w:rsid w:val="57396D9F"/>
    <w:rsid w:val="57F713ED"/>
    <w:rsid w:val="598F0EF0"/>
    <w:rsid w:val="5AE36D9F"/>
    <w:rsid w:val="5AFA70A8"/>
    <w:rsid w:val="5B163F59"/>
    <w:rsid w:val="5C6D60BA"/>
    <w:rsid w:val="5C964934"/>
    <w:rsid w:val="5ED31E51"/>
    <w:rsid w:val="5F6D196E"/>
    <w:rsid w:val="606A79A3"/>
    <w:rsid w:val="60EF1AC6"/>
    <w:rsid w:val="61B36F35"/>
    <w:rsid w:val="621E075A"/>
    <w:rsid w:val="64AB0CB9"/>
    <w:rsid w:val="656F44B8"/>
    <w:rsid w:val="65AB3D88"/>
    <w:rsid w:val="65D64B64"/>
    <w:rsid w:val="665B3D8C"/>
    <w:rsid w:val="6A1D7B3F"/>
    <w:rsid w:val="6E80458B"/>
    <w:rsid w:val="6F7E23B9"/>
    <w:rsid w:val="6F8270D7"/>
    <w:rsid w:val="731B320A"/>
    <w:rsid w:val="74C1236E"/>
    <w:rsid w:val="74CE3236"/>
    <w:rsid w:val="74FE048B"/>
    <w:rsid w:val="753B151E"/>
    <w:rsid w:val="76F53EFD"/>
    <w:rsid w:val="77606CCF"/>
    <w:rsid w:val="79C672FF"/>
    <w:rsid w:val="7A6E2AA0"/>
    <w:rsid w:val="7B073727"/>
    <w:rsid w:val="7BA81073"/>
    <w:rsid w:val="7C9A5C30"/>
    <w:rsid w:val="7DA549AF"/>
    <w:rsid w:val="7DE87FF1"/>
    <w:rsid w:val="7EB705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580" w:lineRule="exact"/>
      <w:ind w:firstLine="200" w:firstLineChars="200"/>
      <w:jc w:val="both"/>
    </w:pPr>
    <w:rPr>
      <w:rFonts w:ascii="仿宋_GB2312" w:eastAsia="仿宋_GB2312" w:hAnsiTheme="minorHAnsi" w:cstheme="minorBidi"/>
      <w:kern w:val="2"/>
      <w:sz w:val="32"/>
      <w:szCs w:val="32"/>
      <w:lang w:val="en-US" w:eastAsia="zh-CN" w:bidi="ar-SA"/>
    </w:rPr>
  </w:style>
  <w:style w:type="paragraph" w:styleId="3">
    <w:name w:val="heading 1"/>
    <w:next w:val="1"/>
    <w:link w:val="10"/>
    <w:qFormat/>
    <w:uiPriority w:val="9"/>
    <w:pPr>
      <w:keepNext/>
      <w:keepLines/>
      <w:spacing w:line="580" w:lineRule="exact"/>
      <w:jc w:val="center"/>
      <w:outlineLvl w:val="0"/>
    </w:pPr>
    <w:rPr>
      <w:rFonts w:ascii="方正小标宋简体" w:hAnsi="方正小标宋简体" w:eastAsia="方正小标宋简体" w:cs="方正小标宋简体"/>
      <w:b/>
      <w:bCs/>
      <w:kern w:val="44"/>
      <w:sz w:val="44"/>
      <w:szCs w:val="44"/>
      <w:lang w:val="en-US" w:eastAsia="zh-CN" w:bidi="ar-SA"/>
    </w:rPr>
  </w:style>
  <w:style w:type="paragraph" w:styleId="4">
    <w:name w:val="heading 2"/>
    <w:basedOn w:val="1"/>
    <w:next w:val="1"/>
    <w:link w:val="11"/>
    <w:unhideWhenUsed/>
    <w:qFormat/>
    <w:uiPriority w:val="9"/>
    <w:pPr>
      <w:keepNext/>
      <w:keepLines/>
      <w:ind w:firstLine="0" w:firstLineChars="0"/>
      <w:jc w:val="center"/>
      <w:outlineLvl w:val="1"/>
    </w:pPr>
    <w:rPr>
      <w:rFonts w:ascii="黑体" w:hAnsi="黑体" w:eastAsia="黑体" w:cs="黑体"/>
      <w:b/>
      <w:bCs/>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pPr>
  </w:style>
  <w:style w:type="paragraph" w:styleId="5">
    <w:name w:val="footer"/>
    <w:basedOn w:val="1"/>
    <w:link w:val="13"/>
    <w:unhideWhenUsed/>
    <w:qFormat/>
    <w:uiPriority w:val="99"/>
    <w:pPr>
      <w:tabs>
        <w:tab w:val="center" w:pos="4153"/>
        <w:tab w:val="right" w:pos="8306"/>
      </w:tabs>
      <w:spacing w:line="240" w:lineRule="atLeast"/>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pacing w:line="240" w:lineRule="atLeast"/>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0">
    <w:name w:val="标题 1 Char"/>
    <w:basedOn w:val="9"/>
    <w:link w:val="3"/>
    <w:qFormat/>
    <w:uiPriority w:val="9"/>
    <w:rPr>
      <w:rFonts w:ascii="方正小标宋简体" w:hAnsi="方正小标宋简体" w:eastAsia="方正小标宋简体" w:cs="方正小标宋简体"/>
      <w:b/>
      <w:bCs/>
      <w:kern w:val="44"/>
      <w:sz w:val="44"/>
      <w:szCs w:val="44"/>
    </w:rPr>
  </w:style>
  <w:style w:type="character" w:customStyle="1" w:styleId="11">
    <w:name w:val="标题 2 Char"/>
    <w:basedOn w:val="9"/>
    <w:link w:val="4"/>
    <w:qFormat/>
    <w:uiPriority w:val="9"/>
    <w:rPr>
      <w:rFonts w:ascii="黑体" w:hAnsi="黑体" w:eastAsia="黑体" w:cs="黑体"/>
      <w:b/>
      <w:bCs/>
    </w:rPr>
  </w:style>
  <w:style w:type="character" w:customStyle="1" w:styleId="12">
    <w:name w:val="页眉 Char"/>
    <w:basedOn w:val="9"/>
    <w:link w:val="6"/>
    <w:qFormat/>
    <w:uiPriority w:val="99"/>
    <w:rPr>
      <w:rFonts w:ascii="仿宋_GB2312" w:eastAsia="仿宋_GB2312" w:hAnsiTheme="minorHAnsi" w:cstheme="minorBidi"/>
      <w:kern w:val="2"/>
      <w:sz w:val="18"/>
      <w:szCs w:val="18"/>
    </w:rPr>
  </w:style>
  <w:style w:type="character" w:customStyle="1" w:styleId="13">
    <w:name w:val="页脚 Char"/>
    <w:basedOn w:val="9"/>
    <w:link w:val="5"/>
    <w:qFormat/>
    <w:uiPriority w:val="99"/>
    <w:rPr>
      <w:rFonts w:ascii="仿宋_GB2312" w:eastAsia="仿宋_GB2312" w:hAnsiTheme="minorHAnsi"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6</Pages>
  <Words>404</Words>
  <Characters>2306</Characters>
  <Lines>19</Lines>
  <Paragraphs>5</Paragraphs>
  <TotalTime>0</TotalTime>
  <ScaleCrop>false</ScaleCrop>
  <LinksUpToDate>false</LinksUpToDate>
  <CharactersWithSpaces>2705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2020-12-10T07:06:00Z</dcterms:created>
  <dc:creator>孙 杨</dc:creator>
  <cp:lastModifiedBy>胡少瑜</cp:lastModifiedBy>
  <dcterms:modified xsi:type="dcterms:W3CDTF">2021-09-30T05:06:51Z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020DF094CE6D4904BA1D85639739EF9A</vt:lpwstr>
  </property>
</Properties>
</file>