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default"/>
          <w:b w:val="0"/>
          <w:bCs/>
        </w:rPr>
      </w:pPr>
      <w:r>
        <w:rPr>
          <w:b w:val="0"/>
          <w:bCs/>
        </w:rPr>
        <w:t>昆明市建设工程质量风险管理机构</w:t>
      </w:r>
    </w:p>
    <w:p>
      <w:pPr>
        <w:pStyle w:val="3"/>
        <w:rPr>
          <w:rFonts w:hint="default"/>
          <w:b w:val="0"/>
          <w:bCs/>
        </w:rPr>
      </w:pPr>
      <w:r>
        <w:rPr>
          <w:b w:val="0"/>
          <w:bCs/>
        </w:rPr>
        <w:t>管理办法</w:t>
      </w:r>
    </w:p>
    <w:p>
      <w:pPr>
        <w:spacing w:line="660" w:lineRule="exact"/>
        <w:ind w:firstLine="640" w:firstLineChars="200"/>
        <w:rPr>
          <w:rFonts w:ascii="仿宋_GB2312" w:hAnsi="仿宋_GB2312" w:eastAsia="仿宋_GB2312" w:cs="仿宋_GB2312"/>
          <w:bCs/>
          <w:sz w:val="32"/>
          <w:szCs w:val="32"/>
        </w:rPr>
      </w:pPr>
      <w:r>
        <w:rPr>
          <w:rStyle w:val="11"/>
          <w:rFonts w:hint="default" w:cs="黑体"/>
          <w:szCs w:val="32"/>
        </w:rPr>
        <w:t>第一条</w:t>
      </w:r>
      <w:r>
        <w:rPr>
          <w:rFonts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rPr>
        <w:t>为推行建设工程质量潜在缺陷保险，规范风险管理机构的经营活动，根据《中华人民共和国建筑法》、《中华人民共和国保险法》、《建设工程质量管理条例》、《昆明市建设工程质量和安全管理条例》等有关法律、法规及标准，结合本市实际，制定本办法。</w:t>
      </w:r>
    </w:p>
    <w:p>
      <w:pPr>
        <w:spacing w:line="660" w:lineRule="exact"/>
        <w:ind w:firstLine="640" w:firstLineChars="200"/>
        <w:rPr>
          <w:rFonts w:ascii="仿宋_GB2312" w:hAnsi="仿宋_GB2312" w:eastAsia="仿宋_GB2312" w:cs="仿宋_GB2312"/>
          <w:bCs/>
          <w:sz w:val="32"/>
          <w:szCs w:val="32"/>
        </w:rPr>
      </w:pPr>
      <w:r>
        <w:rPr>
          <w:rStyle w:val="11"/>
          <w:rFonts w:hint="default" w:cs="黑体"/>
          <w:szCs w:val="32"/>
        </w:rPr>
        <w:t>第二条</w:t>
      </w:r>
      <w:r>
        <w:rPr>
          <w:rFonts w:hint="eastAsia" w:ascii="黑体" w:hAnsi="黑体" w:eastAsia="黑体" w:cs="黑体"/>
          <w:bCs/>
          <w:sz w:val="32"/>
          <w:szCs w:val="32"/>
        </w:rPr>
        <w:t xml:space="preserve"> </w:t>
      </w:r>
      <w:r>
        <w:rPr>
          <w:rFonts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rPr>
        <w:t>本办法所称的风险管理机构，是指受保险公司委托，对被保险建设工程项目潜在的质量风险因素实施辩识、评估、报告、提出处理建议，促进工程质量的提高，减少和避免质量事故发生，并最终对保险公司承担合同责任的机构。</w:t>
      </w:r>
    </w:p>
    <w:p>
      <w:pPr>
        <w:spacing w:line="660" w:lineRule="exact"/>
        <w:ind w:firstLine="640" w:firstLineChars="200"/>
        <w:rPr>
          <w:rFonts w:ascii="仿宋_GB2312" w:hAnsi="仿宋_GB2312" w:eastAsia="仿宋_GB2312" w:cs="仿宋_GB2312"/>
          <w:bCs/>
          <w:sz w:val="32"/>
          <w:szCs w:val="32"/>
        </w:rPr>
      </w:pPr>
      <w:r>
        <w:rPr>
          <w:rStyle w:val="11"/>
          <w:rFonts w:hint="default" w:cs="黑体"/>
          <w:szCs w:val="32"/>
        </w:rPr>
        <w:t>第三条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风险管理机构</w:t>
      </w:r>
      <w:r>
        <w:rPr>
          <w:rFonts w:hint="eastAsia" w:ascii="仿宋_GB2312" w:hAnsi="仿宋_GB2312" w:eastAsia="仿宋_GB2312" w:cs="仿宋_GB2312"/>
          <w:bCs/>
          <w:sz w:val="32"/>
          <w:szCs w:val="32"/>
        </w:rPr>
        <w:t>的工作范围与保险公司承保的建设工程质量潜在缺陷保险的保单责任范围一致。风险管理机构的工作范围可以涵盖建设工程的实施过程，</w:t>
      </w:r>
      <w:r>
        <w:rPr>
          <w:rFonts w:ascii="仿宋_GB2312" w:hAnsi="仿宋_GB2312" w:eastAsia="仿宋_GB2312" w:cs="仿宋_GB2312"/>
          <w:bCs/>
          <w:sz w:val="32"/>
          <w:szCs w:val="32"/>
        </w:rPr>
        <w:t>包括勘察、设计、施工、调试和验收等。</w:t>
      </w:r>
    </w:p>
    <w:p>
      <w:pPr>
        <w:spacing w:line="660" w:lineRule="exact"/>
        <w:ind w:firstLine="600" w:firstLineChars="200"/>
        <w:rPr>
          <w:rFonts w:ascii="仿宋_GB2312" w:hAnsi="仿宋_GB2312" w:eastAsia="仿宋_GB2312" w:cs="仿宋_GB2312"/>
          <w:bCs/>
          <w:sz w:val="32"/>
          <w:szCs w:val="32"/>
        </w:rPr>
      </w:pPr>
      <w:r>
        <w:rPr>
          <w:rStyle w:val="11"/>
          <w:rFonts w:hint="default"/>
          <w:sz w:val="30"/>
          <w:szCs w:val="30"/>
        </w:rPr>
        <w:t>第四条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昆明市住房和城乡建设</w:t>
      </w:r>
      <w:r>
        <w:rPr>
          <w:rFonts w:hint="eastAsia" w:ascii="仿宋_GB2312" w:hAnsi="仿宋_GB2312" w:eastAsia="仿宋_GB2312" w:cs="仿宋_GB2312"/>
          <w:bCs/>
          <w:sz w:val="32"/>
          <w:szCs w:val="32"/>
        </w:rPr>
        <w:t>局</w:t>
      </w:r>
      <w:r>
        <w:rPr>
          <w:rFonts w:ascii="仿宋_GB2312" w:hAnsi="仿宋_GB2312" w:eastAsia="仿宋_GB2312" w:cs="仿宋_GB2312"/>
          <w:bCs/>
          <w:sz w:val="32"/>
          <w:szCs w:val="32"/>
        </w:rPr>
        <w:t>（以下简称市住建</w:t>
      </w:r>
      <w:r>
        <w:rPr>
          <w:rFonts w:hint="eastAsia" w:ascii="仿宋_GB2312" w:hAnsi="仿宋_GB2312" w:eastAsia="仿宋_GB2312" w:cs="仿宋_GB2312"/>
          <w:bCs/>
          <w:sz w:val="32"/>
          <w:szCs w:val="32"/>
        </w:rPr>
        <w:t>局</w:t>
      </w:r>
      <w:r>
        <w:rPr>
          <w:rFonts w:ascii="仿宋_GB2312" w:hAnsi="仿宋_GB2312" w:eastAsia="仿宋_GB2312" w:cs="仿宋_GB2312"/>
          <w:bCs/>
          <w:sz w:val="32"/>
          <w:szCs w:val="32"/>
        </w:rPr>
        <w:t>）负责本市风险管理机构的综合管理，对风险管理机构的业务活动进行指导、监督。建设工程相关专业管理部门协同实施本办法。</w:t>
      </w:r>
    </w:p>
    <w:p>
      <w:pPr>
        <w:spacing w:line="660" w:lineRule="exact"/>
        <w:ind w:firstLine="600" w:firstLineChars="200"/>
        <w:rPr>
          <w:rFonts w:ascii="仿宋_GB2312" w:hAnsi="仿宋_GB2312" w:eastAsia="仿宋_GB2312" w:cs="仿宋_GB2312"/>
          <w:bCs/>
          <w:sz w:val="32"/>
          <w:szCs w:val="32"/>
        </w:rPr>
      </w:pPr>
      <w:r>
        <w:rPr>
          <w:rStyle w:val="11"/>
          <w:rFonts w:hint="default"/>
          <w:sz w:val="30"/>
          <w:szCs w:val="30"/>
        </w:rPr>
        <w:t>第五条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风险管理机构应为独立对外承担民事赔偿责任的主体，应当满足下列条件之一：</w:t>
      </w:r>
    </w:p>
    <w:p>
      <w:pPr>
        <w:spacing w:line="660" w:lineRule="exact"/>
        <w:ind w:firstLine="640" w:firstLineChars="200"/>
        <w:rPr>
          <w:rFonts w:ascii="仿宋_GB2312" w:hAnsi="仿宋_GB2312" w:eastAsia="仿宋_GB2312" w:cs="仿宋_GB2312"/>
          <w:bCs/>
          <w:sz w:val="32"/>
          <w:szCs w:val="32"/>
        </w:rPr>
      </w:pPr>
      <w:r>
        <w:rPr>
          <w:rFonts w:ascii="仿宋_GB2312" w:hAnsi="仿宋_GB2312" w:eastAsia="仿宋_GB2312" w:cs="仿宋_GB2312"/>
          <w:bCs/>
          <w:sz w:val="32"/>
          <w:szCs w:val="32"/>
        </w:rPr>
        <w:t>（</w:t>
      </w:r>
      <w:r>
        <w:rPr>
          <w:rFonts w:hint="eastAsia" w:ascii="仿宋_GB2312" w:hAnsi="仿宋_GB2312" w:eastAsia="仿宋_GB2312" w:cs="仿宋_GB2312"/>
          <w:bCs/>
          <w:sz w:val="32"/>
          <w:szCs w:val="32"/>
        </w:rPr>
        <w:t>一</w:t>
      </w:r>
      <w:r>
        <w:rPr>
          <w:rFonts w:ascii="仿宋_GB2312" w:hAnsi="仿宋_GB2312" w:eastAsia="仿宋_GB2312" w:cs="仿宋_GB2312"/>
          <w:bCs/>
          <w:sz w:val="32"/>
          <w:szCs w:val="32"/>
        </w:rPr>
        <w:t>）具有大型建筑工程管理经验，拥</w:t>
      </w:r>
      <w:r>
        <w:rPr>
          <w:rFonts w:hint="eastAsia" w:ascii="仿宋_GB2312" w:hAnsi="仿宋_GB2312" w:eastAsia="仿宋_GB2312" w:cs="仿宋_GB2312"/>
          <w:bCs/>
          <w:sz w:val="32"/>
          <w:szCs w:val="32"/>
        </w:rPr>
        <w:t>有建筑工程监理甲级及以上资质的建设工程管理机构。</w:t>
      </w:r>
    </w:p>
    <w:p>
      <w:pPr>
        <w:spacing w:line="660" w:lineRule="exact"/>
        <w:ind w:firstLine="640" w:firstLineChars="200"/>
        <w:rPr>
          <w:rFonts w:ascii="仿宋_GB2312" w:hAnsi="仿宋_GB2312" w:eastAsia="仿宋_GB2312" w:cs="仿宋_GB2312"/>
          <w:bCs/>
          <w:sz w:val="32"/>
          <w:szCs w:val="32"/>
        </w:rPr>
      </w:pPr>
      <w:r>
        <w:rPr>
          <w:rFonts w:ascii="仿宋_GB2312" w:hAnsi="仿宋_GB2312" w:eastAsia="仿宋_GB2312" w:cs="仿宋_GB2312"/>
          <w:bCs/>
          <w:sz w:val="32"/>
          <w:szCs w:val="32"/>
        </w:rPr>
        <w:t>（</w:t>
      </w:r>
      <w:r>
        <w:rPr>
          <w:rFonts w:hint="eastAsia" w:ascii="仿宋_GB2312" w:hAnsi="仿宋_GB2312" w:eastAsia="仿宋_GB2312" w:cs="仿宋_GB2312"/>
          <w:bCs/>
          <w:sz w:val="32"/>
          <w:szCs w:val="32"/>
        </w:rPr>
        <w:t>二）</w:t>
      </w:r>
      <w:r>
        <w:rPr>
          <w:rFonts w:ascii="仿宋_GB2312" w:hAnsi="仿宋_GB2312" w:eastAsia="仿宋_GB2312" w:cs="仿宋_GB2312"/>
          <w:bCs/>
          <w:sz w:val="32"/>
          <w:szCs w:val="32"/>
        </w:rPr>
        <w:t>风</w:t>
      </w:r>
      <w:r>
        <w:rPr>
          <w:rFonts w:hint="eastAsia" w:ascii="仿宋_GB2312" w:hAnsi="仿宋_GB2312" w:eastAsia="仿宋_GB2312" w:cs="仿宋_GB2312"/>
          <w:bCs/>
          <w:sz w:val="32"/>
          <w:szCs w:val="32"/>
        </w:rPr>
        <w:t>控管理机构须配置相关的专业注册</w:t>
      </w:r>
      <w:r>
        <w:rPr>
          <w:rFonts w:ascii="仿宋_GB2312" w:hAnsi="仿宋_GB2312" w:eastAsia="仿宋_GB2312" w:cs="仿宋_GB2312"/>
          <w:bCs/>
          <w:sz w:val="32"/>
          <w:szCs w:val="32"/>
        </w:rPr>
        <w:t>人</w:t>
      </w:r>
      <w:r>
        <w:rPr>
          <w:rFonts w:hint="eastAsia" w:ascii="仿宋_GB2312" w:hAnsi="仿宋_GB2312" w:eastAsia="仿宋_GB2312" w:cs="仿宋_GB2312"/>
          <w:bCs/>
          <w:sz w:val="32"/>
          <w:szCs w:val="32"/>
        </w:rPr>
        <w:t>员，且注册于该公司并不得在其他公司兼职。</w:t>
      </w:r>
    </w:p>
    <w:p>
      <w:pPr>
        <w:spacing w:line="6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鼓励和</w:t>
      </w:r>
      <w:r>
        <w:rPr>
          <w:rFonts w:ascii="仿宋_GB2312" w:hAnsi="仿宋_GB2312" w:eastAsia="仿宋_GB2312" w:cs="仿宋_GB2312"/>
          <w:bCs/>
          <w:sz w:val="32"/>
          <w:szCs w:val="32"/>
        </w:rPr>
        <w:t>支持现有工程监理、设计审图、检测等机构通过改组、合并等方式发展成为专业的风险管理机构。</w:t>
      </w:r>
    </w:p>
    <w:p>
      <w:pPr>
        <w:spacing w:line="660" w:lineRule="exact"/>
        <w:ind w:firstLine="600" w:firstLineChars="200"/>
        <w:rPr>
          <w:rFonts w:ascii="仿宋_GB2312" w:hAnsi="仿宋_GB2312" w:eastAsia="仿宋_GB2312" w:cs="仿宋_GB2312"/>
          <w:bCs/>
          <w:color w:val="000000" w:themeColor="text1"/>
          <w:sz w:val="32"/>
          <w:szCs w:val="32"/>
          <w14:textFill>
            <w14:solidFill>
              <w14:schemeClr w14:val="tx1"/>
            </w14:solidFill>
          </w14:textFill>
        </w:rPr>
      </w:pPr>
      <w:r>
        <w:rPr>
          <w:rStyle w:val="11"/>
          <w:rFonts w:hint="default"/>
          <w:sz w:val="30"/>
          <w:szCs w:val="30"/>
        </w:rPr>
        <w:t>第六条</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bCs/>
          <w:color w:val="000000" w:themeColor="text1"/>
          <w:sz w:val="32"/>
          <w:szCs w:val="32"/>
          <w14:textFill>
            <w14:solidFill>
              <w14:schemeClr w14:val="tx1"/>
            </w14:solidFill>
          </w14:textFill>
        </w:rPr>
        <w:t xml:space="preserve"> </w:t>
      </w:r>
      <w:r>
        <w:rPr>
          <w:rFonts w:ascii="仿宋_GB2312" w:hAnsi="仿宋_GB2312" w:eastAsia="仿宋_GB2312" w:cs="仿宋_GB2312"/>
          <w:bCs/>
          <w:color w:val="000000" w:themeColor="text1"/>
          <w:sz w:val="32"/>
          <w:szCs w:val="32"/>
          <w14:textFill>
            <w14:solidFill>
              <w14:schemeClr w14:val="tx1"/>
            </w14:solidFill>
          </w14:textFill>
        </w:rPr>
        <w:t>风险管理机构由各主承保保险机构推荐符合条件的风险管理机构，原则上每家主承保公司推荐名</w:t>
      </w:r>
      <w:r>
        <w:rPr>
          <w:rFonts w:hint="eastAsia" w:ascii="仿宋_GB2312" w:hAnsi="仿宋_GB2312" w:eastAsia="仿宋_GB2312" w:cs="仿宋_GB2312"/>
          <w:bCs/>
          <w:color w:val="000000" w:themeColor="text1"/>
          <w:sz w:val="32"/>
          <w:szCs w:val="32"/>
          <w14:textFill>
            <w14:solidFill>
              <w14:schemeClr w14:val="tx1"/>
            </w14:solidFill>
          </w14:textFill>
        </w:rPr>
        <w:t>单不超过三家，</w:t>
      </w:r>
      <w:r>
        <w:rPr>
          <w:rFonts w:hint="eastAsia" w:ascii="仿宋_GB2312" w:hAnsi="仿宋_GB2312" w:eastAsia="仿宋_GB2312" w:cs="仿宋_GB2312"/>
          <w:bCs/>
          <w:color w:val="auto"/>
          <w:sz w:val="32"/>
          <w:szCs w:val="32"/>
        </w:rPr>
        <w:t>报市住建局</w:t>
      </w:r>
      <w:r>
        <w:rPr>
          <w:rFonts w:hint="eastAsia" w:ascii="仿宋_GB2312" w:hAnsi="仿宋_GB2312" w:eastAsia="仿宋_GB2312" w:cs="仿宋_GB2312"/>
          <w:bCs/>
          <w:color w:val="000000" w:themeColor="text1"/>
          <w:sz w:val="32"/>
          <w:szCs w:val="32"/>
          <w14:textFill>
            <w14:solidFill>
              <w14:schemeClr w14:val="tx1"/>
            </w14:solidFill>
          </w14:textFill>
        </w:rPr>
        <w:t>确定并同意后列入风险管理机构名单库，供保险公司选择使用。</w:t>
      </w:r>
    </w:p>
    <w:p>
      <w:pPr>
        <w:spacing w:line="660" w:lineRule="exact"/>
        <w:ind w:firstLine="600" w:firstLineChars="200"/>
        <w:rPr>
          <w:rFonts w:ascii="仿宋_GB2312" w:hAnsi="仿宋_GB2312" w:eastAsia="仿宋_GB2312" w:cs="仿宋_GB2312"/>
          <w:bCs/>
          <w:sz w:val="32"/>
          <w:szCs w:val="32"/>
        </w:rPr>
      </w:pPr>
      <w:r>
        <w:rPr>
          <w:rStyle w:val="11"/>
          <w:rFonts w:hint="default"/>
          <w:sz w:val="30"/>
          <w:szCs w:val="30"/>
        </w:rPr>
        <w:t>第七条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风险管理机构必须由保险公司委托</w:t>
      </w:r>
      <w:r>
        <w:rPr>
          <w:rFonts w:hint="eastAsia" w:ascii="仿宋_GB2312" w:hAnsi="仿宋_GB2312" w:eastAsia="仿宋_GB2312" w:cs="仿宋_GB2312"/>
          <w:bCs/>
          <w:sz w:val="32"/>
          <w:szCs w:val="32"/>
        </w:rPr>
        <w:t>。</w:t>
      </w:r>
      <w:r>
        <w:rPr>
          <w:rFonts w:ascii="仿宋_GB2312" w:hAnsi="仿宋_GB2312" w:eastAsia="仿宋_GB2312" w:cs="仿宋_GB2312"/>
          <w:bCs/>
          <w:sz w:val="32"/>
          <w:szCs w:val="32"/>
        </w:rPr>
        <w:t>保险公司应当按照法律法规、工程建设标准、施工图设计文件的要求对被保险建设工程项目实施过程风险管控，由经保险公司书面委托的风险管理机构具体实施。保险公司签订的书面委托合同应当明确项目风险管理机构的名称、风险管理组成人员的条件、风险管理负责人人选、风险管理工作范围和风险管理服务期，以及委托人的费用支付、委托人为风险管理工作开展所提供的资料和其他条件等内容。未经保险公司书面同意</w:t>
      </w:r>
      <w:r>
        <w:rPr>
          <w:rFonts w:hint="eastAsia" w:ascii="仿宋_GB2312" w:hAnsi="仿宋_GB2312" w:eastAsia="仿宋_GB2312" w:cs="仿宋_GB2312"/>
          <w:bCs/>
          <w:sz w:val="32"/>
          <w:szCs w:val="32"/>
        </w:rPr>
        <w:t>，风险管理机构不得转让风险管理</w:t>
      </w:r>
      <w:r>
        <w:rPr>
          <w:rFonts w:ascii="仿宋_GB2312" w:hAnsi="仿宋_GB2312" w:eastAsia="仿宋_GB2312" w:cs="仿宋_GB2312"/>
          <w:bCs/>
          <w:sz w:val="32"/>
          <w:szCs w:val="32"/>
        </w:rPr>
        <w:t>业务。</w:t>
      </w:r>
    </w:p>
    <w:p>
      <w:pPr>
        <w:spacing w:line="660" w:lineRule="exact"/>
        <w:ind w:firstLine="600" w:firstLineChars="200"/>
        <w:rPr>
          <w:rFonts w:ascii="仿宋_GB2312" w:hAnsi="仿宋_GB2312" w:eastAsia="仿宋_GB2312" w:cs="仿宋_GB2312"/>
          <w:bCs/>
          <w:sz w:val="32"/>
          <w:szCs w:val="32"/>
        </w:rPr>
      </w:pPr>
      <w:r>
        <w:rPr>
          <w:rStyle w:val="11"/>
          <w:rFonts w:hint="default"/>
          <w:sz w:val="30"/>
          <w:szCs w:val="30"/>
        </w:rPr>
        <w:t>第八条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风险管理机构必须具备独立性，不得与该工程参建单位存有关联关系，禁止直接或间接参与该工程的勘察、设计、施工、监理、材料供应等服务内容。</w:t>
      </w:r>
    </w:p>
    <w:p>
      <w:pPr>
        <w:spacing w:line="660" w:lineRule="exact"/>
        <w:ind w:firstLine="600" w:firstLineChars="200"/>
        <w:rPr>
          <w:rFonts w:ascii="仿宋_GB2312" w:hAnsi="仿宋_GB2312" w:eastAsia="仿宋_GB2312" w:cs="仿宋_GB2312"/>
          <w:bCs/>
          <w:sz w:val="32"/>
          <w:szCs w:val="32"/>
        </w:rPr>
      </w:pPr>
      <w:r>
        <w:rPr>
          <w:rStyle w:val="11"/>
          <w:rFonts w:hint="default"/>
          <w:sz w:val="30"/>
          <w:szCs w:val="30"/>
        </w:rPr>
        <w:t>第九条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鼓励风险管理机构投保相关职业责任保险，在同等条件下，保险公司应优先选择已投保职业责任保险的风险管理机构。</w:t>
      </w:r>
    </w:p>
    <w:p>
      <w:pPr>
        <w:spacing w:line="660" w:lineRule="exact"/>
        <w:ind w:firstLine="600" w:firstLineChars="200"/>
        <w:rPr>
          <w:rFonts w:ascii="仿宋_GB2312" w:hAnsi="仿宋_GB2312" w:eastAsia="仿宋_GB2312" w:cs="仿宋_GB2312"/>
          <w:bCs/>
          <w:sz w:val="32"/>
          <w:szCs w:val="32"/>
        </w:rPr>
      </w:pPr>
      <w:r>
        <w:rPr>
          <w:rStyle w:val="11"/>
          <w:rFonts w:hint="default"/>
          <w:sz w:val="30"/>
          <w:szCs w:val="30"/>
        </w:rPr>
        <w:t>第十条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风险管理机构应根据统一制定的流程规范，结合工程项目的实际情况，制定被保险工程项目风险管理实施方案，包括人员配备、负责人、风险管理具体实施范围和对象、过程风险管理具体实施计划、过程风险管理的关键节点或重点工序</w:t>
      </w:r>
      <w:r>
        <w:rPr>
          <w:rFonts w:hint="eastAsia" w:ascii="仿宋_GB2312" w:hAnsi="仿宋_GB2312" w:eastAsia="仿宋_GB2312" w:cs="仿宋_GB2312"/>
          <w:bCs/>
          <w:sz w:val="32"/>
          <w:szCs w:val="32"/>
        </w:rPr>
        <w:t>、需要建设单位协调配合的相关事项。风险管理机构应根据保险合同内容及前期风险管理方案向保险公司提供过程评估报告和最终评估报告。建设单位接到过程检查评估报告和最终检查评估报告后，应当责成相关责任单位及时整改缺陷问题。风险管理机构出具的最终检查报告，应当作为工程竣工验收的必备资料。</w:t>
      </w:r>
    </w:p>
    <w:p>
      <w:pPr>
        <w:spacing w:line="660" w:lineRule="exact"/>
        <w:ind w:firstLine="600" w:firstLineChars="200"/>
        <w:rPr>
          <w:rFonts w:ascii="仿宋_GB2312" w:hAnsi="仿宋_GB2312" w:eastAsia="仿宋_GB2312" w:cs="仿宋_GB2312"/>
          <w:bCs/>
          <w:sz w:val="32"/>
          <w:szCs w:val="32"/>
        </w:rPr>
      </w:pPr>
      <w:r>
        <w:rPr>
          <w:rStyle w:val="11"/>
          <w:rFonts w:hint="default"/>
          <w:sz w:val="30"/>
          <w:szCs w:val="30"/>
        </w:rPr>
        <w:t>第十一条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风险管理机构应当根据与保险公司签订的风险管理委托合同的约定，对保险公司拟承保建设项目设置专门的风险管理项目负责人，并授权其开展风险管理工作。风险管理项目负责人</w:t>
      </w:r>
      <w:r>
        <w:rPr>
          <w:rFonts w:hint="eastAsia" w:ascii="仿宋_GB2312" w:hAnsi="仿宋_GB2312" w:eastAsia="仿宋_GB2312" w:cs="仿宋_GB2312"/>
          <w:bCs/>
          <w:sz w:val="32"/>
          <w:szCs w:val="32"/>
        </w:rPr>
        <w:t>，应当由</w:t>
      </w:r>
      <w:r>
        <w:rPr>
          <w:rFonts w:ascii="仿宋_GB2312" w:hAnsi="仿宋_GB2312" w:eastAsia="仿宋_GB2312" w:cs="仿宋_GB2312"/>
          <w:bCs/>
          <w:sz w:val="32"/>
          <w:szCs w:val="32"/>
        </w:rPr>
        <w:t>从事工程建设工作的经历并</w:t>
      </w:r>
      <w:r>
        <w:rPr>
          <w:rFonts w:hint="eastAsia" w:ascii="仿宋_GB2312" w:hAnsi="仿宋_GB2312" w:eastAsia="仿宋_GB2312" w:cs="仿宋_GB2312"/>
          <w:bCs/>
          <w:sz w:val="32"/>
          <w:szCs w:val="32"/>
        </w:rPr>
        <w:t>取得注册执业资格的专业技术人员担任</w:t>
      </w:r>
      <w:r>
        <w:rPr>
          <w:rFonts w:ascii="仿宋_GB2312" w:hAnsi="仿宋_GB2312" w:eastAsia="仿宋_GB2312" w:cs="仿宋_GB2312"/>
          <w:bCs/>
          <w:sz w:val="32"/>
          <w:szCs w:val="32"/>
        </w:rPr>
        <w:t>。项目负责人应当按照技术规范要求以及合同约定，在保险公司拟承保建设工程项目中履行风险管理职责。确因正当事由更换负责人的，应征得保险公司的书面确认，并指定新的项目负责人。</w:t>
      </w:r>
    </w:p>
    <w:p>
      <w:pPr>
        <w:spacing w:line="660" w:lineRule="exact"/>
        <w:ind w:firstLine="600" w:firstLineChars="200"/>
        <w:rPr>
          <w:rFonts w:ascii="仿宋_GB2312" w:hAnsi="仿宋_GB2312" w:eastAsia="仿宋_GB2312" w:cs="仿宋_GB2312"/>
          <w:bCs/>
          <w:color w:val="auto"/>
          <w:sz w:val="32"/>
          <w:szCs w:val="32"/>
        </w:rPr>
      </w:pPr>
      <w:r>
        <w:rPr>
          <w:rStyle w:val="11"/>
          <w:rFonts w:hint="default"/>
          <w:sz w:val="30"/>
          <w:szCs w:val="30"/>
        </w:rPr>
        <w:t>第十二条</w:t>
      </w:r>
      <w:r>
        <w:rPr>
          <w:rFonts w:ascii="仿宋_GB2312" w:hAnsi="仿宋_GB2312" w:eastAsia="仿宋_GB2312" w:cs="仿宋_GB2312"/>
          <w:bCs/>
          <w:sz w:val="32"/>
          <w:szCs w:val="32"/>
        </w:rPr>
        <w:t xml:space="preserve">  保险公司每年按项目对风险管理机构的工作进行评估，加强诚信管理，并将评估结果报至</w:t>
      </w:r>
      <w:r>
        <w:rPr>
          <w:rFonts w:ascii="仿宋_GB2312" w:hAnsi="仿宋_GB2312" w:eastAsia="仿宋_GB2312" w:cs="仿宋_GB2312"/>
          <w:bCs/>
          <w:color w:val="auto"/>
          <w:sz w:val="32"/>
          <w:szCs w:val="32"/>
        </w:rPr>
        <w:t>市住建局。对工作质量不能满足相关工作规范要求</w:t>
      </w:r>
      <w:r>
        <w:rPr>
          <w:rFonts w:hint="eastAsia" w:ascii="仿宋_GB2312" w:hAnsi="仿宋_GB2312" w:eastAsia="仿宋_GB2312" w:cs="仿宋_GB2312"/>
          <w:bCs/>
          <w:color w:val="auto"/>
          <w:sz w:val="32"/>
          <w:szCs w:val="32"/>
        </w:rPr>
        <w:t>，违规低价承揽业务扰乱市场，风控人员配置不满足项目要求，风控机构或人员与项直接间接有关联业务</w:t>
      </w:r>
      <w:r>
        <w:rPr>
          <w:rFonts w:ascii="仿宋_GB2312" w:hAnsi="仿宋_GB2312" w:eastAsia="仿宋_GB2312" w:cs="仿宋_GB2312"/>
          <w:bCs/>
          <w:color w:val="auto"/>
          <w:sz w:val="32"/>
          <w:szCs w:val="32"/>
        </w:rPr>
        <w:t>或因自身原因不予履行合同义务的风险管理机构，按照法律、法规的规定，保险公司应及时将相关情况向风险管理机构</w:t>
      </w:r>
      <w:r>
        <w:rPr>
          <w:rFonts w:hint="eastAsia" w:ascii="仿宋_GB2312" w:hAnsi="仿宋_GB2312" w:eastAsia="仿宋_GB2312" w:cs="仿宋_GB2312"/>
          <w:bCs/>
          <w:color w:val="auto"/>
          <w:sz w:val="32"/>
          <w:szCs w:val="32"/>
        </w:rPr>
        <w:t>信息平台以及住建主管部门报告，经核实予以登记，并清除出风险管理机构名单库。</w:t>
      </w:r>
    </w:p>
    <w:p>
      <w:pPr>
        <w:spacing w:line="660" w:lineRule="exact"/>
        <w:ind w:firstLine="600" w:firstLineChars="200"/>
        <w:rPr>
          <w:rFonts w:ascii="仿宋_GB2312" w:hAnsi="仿宋_GB2312" w:eastAsia="仿宋_GB2312" w:cs="仿宋_GB2312"/>
          <w:bCs/>
          <w:sz w:val="32"/>
          <w:szCs w:val="32"/>
        </w:rPr>
      </w:pPr>
      <w:r>
        <w:rPr>
          <w:rStyle w:val="11"/>
          <w:rFonts w:hint="default"/>
          <w:color w:val="auto"/>
          <w:sz w:val="30"/>
          <w:szCs w:val="30"/>
        </w:rPr>
        <w:t>第十三条</w:t>
      </w:r>
      <w:r>
        <w:rPr>
          <w:rFonts w:ascii="仿宋_GB2312" w:hAnsi="仿宋_GB2312" w:eastAsia="仿宋_GB2312" w:cs="仿宋_GB2312"/>
          <w:bCs/>
          <w:color w:val="auto"/>
          <w:sz w:val="32"/>
          <w:szCs w:val="32"/>
        </w:rPr>
        <w:t xml:space="preserve">  市住建局和其他有关部门应当加</w:t>
      </w:r>
      <w:r>
        <w:rPr>
          <w:rFonts w:ascii="仿宋_GB2312" w:hAnsi="仿宋_GB2312" w:eastAsia="仿宋_GB2312" w:cs="仿宋_GB2312"/>
          <w:bCs/>
          <w:sz w:val="32"/>
          <w:szCs w:val="32"/>
        </w:rPr>
        <w:t>强诚信管理，记载风险管理机构和从业人员的信用信息，加强对失信单位和人员的监管，对信用良好的单位和人员实施便利措施。</w:t>
      </w:r>
    </w:p>
    <w:p>
      <w:pPr>
        <w:spacing w:line="660" w:lineRule="exact"/>
        <w:ind w:firstLine="640" w:firstLineChars="200"/>
        <w:rPr>
          <w:rFonts w:ascii="仿宋_GB2312" w:hAnsi="仿宋_GB2312" w:eastAsia="仿宋_GB2312" w:cs="仿宋_GB2312"/>
          <w:bCs/>
          <w:sz w:val="32"/>
          <w:szCs w:val="32"/>
        </w:rPr>
      </w:pPr>
      <w:r>
        <w:rPr>
          <w:rFonts w:hint="eastAsia" w:ascii="黑体" w:hAnsi="黑体" w:eastAsia="黑体" w:cs="黑体"/>
          <w:bCs/>
          <w:sz w:val="32"/>
          <w:szCs w:val="32"/>
        </w:rPr>
        <w:t>第十四条</w:t>
      </w:r>
      <w:r>
        <w:rPr>
          <w:rFonts w:ascii="仿宋_GB2312" w:hAnsi="仿宋_GB2312" w:eastAsia="仿宋_GB2312" w:cs="仿宋_GB2312"/>
          <w:bCs/>
          <w:sz w:val="32"/>
          <w:szCs w:val="32"/>
        </w:rPr>
        <w:t xml:space="preserve">  本规</w:t>
      </w:r>
      <w:r>
        <w:rPr>
          <w:rFonts w:ascii="仿宋_GB2312" w:hAnsi="仿宋_GB2312" w:eastAsia="仿宋_GB2312" w:cs="仿宋_GB2312"/>
          <w:bCs/>
          <w:color w:val="auto"/>
          <w:sz w:val="32"/>
          <w:szCs w:val="32"/>
        </w:rPr>
        <w:t>定由昆明市住房和城乡建设</w:t>
      </w:r>
      <w:r>
        <w:rPr>
          <w:rFonts w:hint="eastAsia" w:ascii="仿宋_GB2312" w:hAnsi="仿宋_GB2312" w:eastAsia="仿宋_GB2312" w:cs="仿宋_GB2312"/>
          <w:bCs/>
          <w:color w:val="auto"/>
          <w:sz w:val="32"/>
          <w:szCs w:val="32"/>
        </w:rPr>
        <w:t>局</w:t>
      </w:r>
      <w:r>
        <w:rPr>
          <w:rFonts w:ascii="仿宋_GB2312" w:hAnsi="仿宋_GB2312" w:eastAsia="仿宋_GB2312" w:cs="仿宋_GB2312"/>
          <w:bCs/>
          <w:sz w:val="32"/>
          <w:szCs w:val="32"/>
        </w:rPr>
        <w:t>负责解释。</w:t>
      </w:r>
    </w:p>
    <w:p>
      <w:pPr>
        <w:adjustRightInd w:val="0"/>
        <w:snapToGrid w:val="0"/>
        <w:spacing w:line="360" w:lineRule="auto"/>
        <w:ind w:firstLine="640" w:firstLineChars="200"/>
        <w:rPr>
          <w:rFonts w:ascii="仿宋_GB2312" w:hAnsi="仿宋_GB2312" w:eastAsia="仿宋_GB2312" w:cs="仿宋_GB2312"/>
          <w:sz w:val="32"/>
          <w:szCs w:val="32"/>
        </w:rPr>
      </w:pPr>
      <w:r>
        <w:rPr>
          <w:rFonts w:hint="eastAsia" w:ascii="黑体" w:hAnsi="黑体" w:eastAsia="黑体" w:cs="黑体"/>
          <w:bCs/>
          <w:sz w:val="32"/>
          <w:szCs w:val="32"/>
        </w:rPr>
        <w:t>第十五条</w:t>
      </w:r>
      <w:r>
        <w:rPr>
          <w:rFonts w:hint="eastAsia" w:ascii="仿宋_GB2312" w:hAnsi="仿宋_GB2312" w:eastAsia="仿宋_GB2312" w:cs="仿宋_GB2312"/>
          <w:bCs/>
          <w:sz w:val="32"/>
          <w:szCs w:val="32"/>
        </w:rPr>
        <w:t xml:space="preserve">  </w:t>
      </w:r>
      <w:r>
        <w:rPr>
          <w:rFonts w:ascii="仿宋_GB2312" w:hAnsi="仿宋_GB2312" w:eastAsia="仿宋_GB2312" w:cs="仿宋_GB2312"/>
          <w:bCs/>
          <w:sz w:val="32"/>
          <w:szCs w:val="32"/>
        </w:rPr>
        <w:t>本规定</w:t>
      </w:r>
      <w:r>
        <w:rPr>
          <w:rFonts w:hint="eastAsia" w:ascii="仿宋_GB2312" w:hAnsi="仿宋_GB2312" w:eastAsia="仿宋_GB2312" w:cs="仿宋_GB2312"/>
          <w:sz w:val="32"/>
          <w:szCs w:val="32"/>
        </w:rPr>
        <w:t>自发布之日起施行，试行期4年。</w:t>
      </w:r>
      <w:bookmarkStart w:id="0" w:name="_GoBack"/>
      <w:bookmarkEnd w:id="0"/>
    </w:p>
    <w:p>
      <w:pPr>
        <w:spacing w:line="660" w:lineRule="exact"/>
        <w:ind w:firstLine="640" w:firstLineChars="200"/>
        <w:rPr>
          <w:rFonts w:ascii="仿宋_GB2312" w:hAnsi="仿宋_GB2312" w:eastAsia="仿宋_GB2312" w:cs="仿宋_GB2312"/>
          <w:bCs/>
          <w:sz w:val="32"/>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393"/>
    <w:rsid w:val="00185123"/>
    <w:rsid w:val="001902E7"/>
    <w:rsid w:val="002235BC"/>
    <w:rsid w:val="002510A9"/>
    <w:rsid w:val="00267FCF"/>
    <w:rsid w:val="00432460"/>
    <w:rsid w:val="005F17F9"/>
    <w:rsid w:val="00636393"/>
    <w:rsid w:val="006910CB"/>
    <w:rsid w:val="006A1DA3"/>
    <w:rsid w:val="00814F7F"/>
    <w:rsid w:val="00860014"/>
    <w:rsid w:val="0092164B"/>
    <w:rsid w:val="009455AF"/>
    <w:rsid w:val="00AF6F3D"/>
    <w:rsid w:val="00B258B8"/>
    <w:rsid w:val="00C0387F"/>
    <w:rsid w:val="00C80600"/>
    <w:rsid w:val="00E45D77"/>
    <w:rsid w:val="00E75B1F"/>
    <w:rsid w:val="00E8031A"/>
    <w:rsid w:val="00F75933"/>
    <w:rsid w:val="00F85775"/>
    <w:rsid w:val="00F9674E"/>
    <w:rsid w:val="00FA6CBE"/>
    <w:rsid w:val="00FC383E"/>
    <w:rsid w:val="00FC55FB"/>
    <w:rsid w:val="00FF445B"/>
    <w:rsid w:val="0AA226D4"/>
    <w:rsid w:val="0DF232AD"/>
    <w:rsid w:val="14F05CE0"/>
    <w:rsid w:val="1F0D2654"/>
    <w:rsid w:val="26786397"/>
    <w:rsid w:val="2E90291E"/>
    <w:rsid w:val="2F324812"/>
    <w:rsid w:val="30203333"/>
    <w:rsid w:val="312223D3"/>
    <w:rsid w:val="37733828"/>
    <w:rsid w:val="405375A6"/>
    <w:rsid w:val="53391867"/>
    <w:rsid w:val="55067CDD"/>
    <w:rsid w:val="68BC3300"/>
    <w:rsid w:val="69553B8D"/>
    <w:rsid w:val="6C904026"/>
    <w:rsid w:val="73B6403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2"/>
      <w:lang w:val="en-US" w:eastAsia="zh-CN" w:bidi="ar-SA"/>
    </w:rPr>
  </w:style>
  <w:style w:type="paragraph" w:styleId="3">
    <w:name w:val="heading 1"/>
    <w:basedOn w:val="1"/>
    <w:next w:val="1"/>
    <w:qFormat/>
    <w:uiPriority w:val="9"/>
    <w:pPr>
      <w:jc w:val="center"/>
      <w:outlineLvl w:val="0"/>
    </w:pPr>
    <w:rPr>
      <w:rFonts w:hint="eastAsia" w:ascii="方正小标宋简体" w:hAnsi="方正小标宋简体" w:eastAsia="方正小标宋简体" w:cs="Times New Roman"/>
      <w:b/>
      <w:kern w:val="44"/>
      <w:sz w:val="44"/>
      <w:szCs w:val="48"/>
    </w:rPr>
  </w:style>
  <w:style w:type="paragraph" w:styleId="4">
    <w:name w:val="heading 2"/>
    <w:basedOn w:val="1"/>
    <w:next w:val="1"/>
    <w:link w:val="11"/>
    <w:semiHidden/>
    <w:unhideWhenUsed/>
    <w:qFormat/>
    <w:uiPriority w:val="9"/>
    <w:pPr>
      <w:adjustRightInd w:val="0"/>
      <w:snapToGrid w:val="0"/>
      <w:spacing w:line="660" w:lineRule="exact"/>
      <w:ind w:firstLine="643" w:firstLineChars="200"/>
      <w:outlineLvl w:val="1"/>
    </w:pPr>
    <w:rPr>
      <w:rFonts w:hint="eastAsia" w:ascii="黑体" w:hAnsi="黑体" w:eastAsia="黑体" w:cs="Times New Roman"/>
      <w:kern w:val="0"/>
      <w:sz w:val="32"/>
      <w:szCs w:val="36"/>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5">
    <w:name w:val="footer"/>
    <w:basedOn w:val="1"/>
    <w:link w:val="10"/>
    <w:uiPriority w:val="99"/>
    <w:pPr>
      <w:tabs>
        <w:tab w:val="center" w:pos="4153"/>
        <w:tab w:val="right" w:pos="8306"/>
      </w:tabs>
      <w:snapToGrid w:val="0"/>
      <w:jc w:val="left"/>
    </w:pPr>
    <w:rPr>
      <w:sz w:val="18"/>
      <w:szCs w:val="18"/>
    </w:rPr>
  </w:style>
  <w:style w:type="paragraph" w:styleId="6">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标题 2 Char"/>
    <w:link w:val="4"/>
    <w:qFormat/>
    <w:uiPriority w:val="0"/>
    <w:rPr>
      <w:rFonts w:hint="eastAsia" w:ascii="黑体" w:hAnsi="黑体" w:eastAsia="黑体" w:cs="宋体"/>
      <w:kern w:val="0"/>
      <w:sz w:val="32"/>
      <w:szCs w:val="36"/>
      <w:lang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Pages>
  <Words>274</Words>
  <Characters>1568</Characters>
  <Lines>13</Lines>
  <Paragraphs>3</Paragraphs>
  <TotalTime>1</TotalTime>
  <ScaleCrop>false</ScaleCrop>
  <LinksUpToDate>false</LinksUpToDate>
  <CharactersWithSpaces>1839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2020-11-30T11:53:00Z</dcterms:created>
  <dc:creator>diandiansuai@outlook.com</dc:creator>
  <cp:lastModifiedBy>胡少瑜</cp:lastModifiedBy>
  <cp:lastPrinted>2021-08-09T03:14:00Z</cp:lastPrinted>
  <dcterms:modified xsi:type="dcterms:W3CDTF">2021-09-30T05:25:37Z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024285CD36F54CB7829852C4DECA24A8</vt:lpwstr>
  </property>
</Properties>
</file>